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Inspector, Metal Fabricating</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51-2041.01</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0325</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JOB ORIENTATION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Learn the names and types of tools used; learn the use of customer gages and checking fixtures, the quality system within the plant, the shop rules and regulations pertaining to quality, quality room and shop layout.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STATISTICAL PROCESS CONTROL</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Become familiar with the theory and application of SPC. Be able to do data gathering and analysis for variable and attributes studies including x­bar and R charts, pareto charts, histograms, P, NP, and C charts.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SYSTEMS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Become familiar with the requirements of the customers quality systems, including sample submission procedure, customer reject procedure. Learn to assess shop quality systems for conformance to customer requirements.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BLUEPRINT READING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Reading a blueprint to determine vehicle location of the part, critical dimensions, visual requirements. Use of blueprints to determine variation from specification, use of blueprint for doing part layouts for customer sample approval.</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LAB TESTING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Learn the various lab analysis procedures that can be performed in the plant for metal, paint. Become familiar with the established industry system for obtaining analysis on parts for tests that cannot be performed in plant. Become familiar with the terminology and test procedures for anodized, heat treated, chrome plated, and painted parts. Be able to co­relate test results with part quality.</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FIXTURE DESIGN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Learn various methods of mechanical fixturing that are common to product manufactured. Develop and use fixtures in the inspection process.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730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COORDINATE MEASURING MACHINE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Become familiar with and use the CMM to determine conformance in the inspection process.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730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SURFACE PLATE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Learn the use of surface plate measurement techniques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SURFACE PROCEDURES AND PRACTICES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Tool safety and first aid.</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8K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Inspector, Metal Fabricating</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51-2041.01</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0325</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Beginning Algebra</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 for Manufacturing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Measurements &amp; Inspection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College Algebra &amp; Trigonometry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Physics/051 Physics Lab</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Print Reading &amp; Sketches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Engineering Drawing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Detail Drafting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Fixture Design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Geom. Dimensions &amp; Tolerances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SPC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SPC Il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Machining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Jig Design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PC</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Autocad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770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