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Polysomnographic Technologist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Study Preparation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physician’s order to assure appropriateness in conjunction with reviewing of patient’s medical records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&amp;amp; accommodate the patient’s age-specific needs, disability and/or other special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the need for additional physiological monitors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the possible need for emergency intervention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Recording equipment integrity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an all-channel &amp;amp; montage calibration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&amp;amp; correct recording equipment malfunctions observed during calibration, including polysomnography amplifiers, ancillary equipment &amp;amp; audiovisual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 post-calibration procedure to verify the integrity of recorded data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Patient and Family Interaction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patient identification using tow identifiers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Interview the patient to obtain any additional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Answer questions related to sleep disorders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appropriate patient and family education including expectations of technical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the possible need for emergency intervention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Follow established protocols for placement of ECG, EMG EOG and other recording electrodes &amp; sensors used in polysomnography using standards precautions during patient preparation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established protocols for placement of ECG, EMG EOG and other recording electrodes &amp;amp; sensors used in polysomnography using standards precautions during patient preparation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Obtaining Accurate Patient Recordings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Acquire, verify and document biological calibrations prior to ‘lights out’ to document integrity of the physiological monitors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&amp;amp; minimize artifacts so that sleep stages &amp;amp; all monitoring channels are clearly visible throughout the recording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&amp;amp; document relevant data such as body position changes, life-threatening events, EEG and ECG abnormalities,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routine changes periodically throughout the recording to include notes on observed behavior, parasomnias, notations of montage and equipment settings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the need for clinical interventions (Oxygen, Positive Airway Pressure Titration, CPR, etc.) and perform them according to established guidelines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Concluding the PSG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 post-calibration following ‘lights-on’ to document integrity of the recording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Remove electrodes &amp;amp; sensors from the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a summary of the polysomnography &amp;amp; clinical observations in order to assist with the interpretation (clinically significant behavior, significant cardiac arrhythmia,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patient data and chart for score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and disinfect electrodes and other reusable equipment according to manufacturer’s guidelines and/or established department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Comprehensive Reporting to the Physician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Include observations of snore quality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therapeutic levels, modes of therapy and accessories utilized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Differentiate between potentially lethal and non-lethal ECG patterns with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relevant sleep/wake behaviors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Summarize the therapeutic intervention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Patient Education and Support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department protocols to assist the patient in receiving follow-up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positive airway pressure support and education on equipment as needed to patients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ongoing contact with the referring physician when his/her positive airway pressure patient is seen to issues with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the role of the technologist versus the role of the physician in the treatment of the positive airway pressure patient and know when to refer the patient back to the physician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community awareness health and education programs to provide information on sleep disorders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positive airway pressure titration in accordance with established protoco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positive airway pressure titration in accordance with established protoco</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oxygen titration in accordance with established protocol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oxygen titration in accordance with established protocol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multiple sleep latency test (MSLT) in accordance with established protocol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multiple sleep latency test (MSLT) in accordance with established protocol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knowledge of processing patient charges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processing patient charges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knowledge of office flow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office flow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 direct patient recording - clinical experience on-site polysomnography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direct patient recording - clinical experience on-site polysomnography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Attend AASM Training in Atlanta Georgia</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AASM Training in Atlanta Georgia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Complete AASM CME modules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AASM CME modules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Complete TAMC Frontline Leadership Training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TAMC Frontline Leadership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Complete TAMC Orientation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TAMC Orientation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Complete TAMC EMR training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TAMC EMR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Complete EMHS Healthstream training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EMHS Healthstream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Attend and participate in 12 TAMC monthly meetings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and participate in 12 TAMC monthly meetings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 in 1:1 training with Medical Director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1:1 training with Medical Director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78</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47</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