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Preschool Teacher (3004HYV1) Hybrid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3004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Modify teaching methods or materials to accommodate children's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scaffold, and individualize instruction, activities, and materials to meet the children?s varying development, needs, and interests.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Student Support Team, Individualized Family Services Plan, Individual Education Plan and Case Conference meetings to discuss each individual child?s development and collaborate with other professionals to develop appropriate goals for them.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Teach life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and foster children?s growth and development as outlined in the CA Preschool Learning Foundations: Social Emotional, Language and Literacy, Mathematics, Visual and Performance Arts, Physical Development, Health, History-Social Science, Science.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and model healthy habits and personal hygiene.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for basic needs of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respectful and responsive care to children when attending to their basic needs (e.g., feeding, dressing, and changing diapers).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and participate in meals and snacks in accordance with nutritional guidelines and best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and support children?s transition as they arrive at school.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 up classroom materials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children with a variety of developmentally appropriate activities, materials, and resources that foster growth and development in all areas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prepare all materials, activities and learning environments.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and prepare indoor and outdoor learning environments, activities, and materials to facilitate appropriate learning activities, and ensure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 classroom management strategies.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classroom routines and rules and implement appropriate behavior management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Discuss student progress with families and professionals.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children showing difficulties in any area of development and discuss concern(s) with mentor teacher, child?s family, and child development specialists (Mental Health Specialist, Nurse, Nutritionist, Education and Disability Specialist,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with each family to discuss their child?s strengths, progress, needs, and interests to develop individual goals and priorities for the child.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families with strategies, resources, and ideas to promote learning and development at home and strengthen the school-home connection.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educational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developmentally appropriate learning experiences that build on what children know and understand and are individualized to accommodate different skill levels and learning styles.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conduct activities for a balanced program of instruction, demonstration, and hands-on work that provides children with opportunities to observe, question, and investigate.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and document children?s development and learning.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children using the designated assessment tool that uses work samples, observations, and other authentic means to gather the necessary evidence to evaluate children?s development in all domains.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assessment results to understand and plan an individual child?s developmental progression and determine whether current teaching strategies are working for that child to guide adaptations and improvements in teaching practices.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student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accurate and complete student records as required by funding sources, laws, district policies, and administrative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instructional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clear learning/developmental objectives for all lessons, units, and projects and document them in lesson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individual goals for each child based on assessment that also incorporates the child?s strengths and interests.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multiple appropriate teaching methods.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multiple appropriate teaching methods and strategies to actively engage children.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Arrange learning environment to ensure physical safety of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monitor, and maintain indoor and outdoor learning environments to ensure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 teaching professionals to develop educational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other staff members to plan collaboratively to promote learning and development of all children in the center.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other teachers and administrators in the development, evaluation, and revision of programs.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87</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Attend trainings, meetings, and committees.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professional meetings, educational conferences, and teacher training workshops to maintain and improve professional competence.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on institutional or departmental committees.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staff meetings and collaboration team 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Evaluate performance of educational staff.</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evaluate, and plan assignments for teacher assistants and volunteers.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Order instructional materials or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order, store, and inventory classroom equipment, materials, and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66</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Preschool Teacher (3004HYV1) Hybrid</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3004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