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WASTEWATER OPERATOR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51-8031.00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0507</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Underground Repair and Construction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and repair pipe and appurtenances utilizing proper shoring, pipeline grade, bedding materials, pipelaying procedures, backfilling and compaction. Prepare concise and substantive reports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720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Pipeline Cleaning and Maintenance Methods.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Select proper methods to clear stoppages and clean sewers. Set up, operate and maintain sewer clearing and cleaning equipment such as balling, high velocity cleaners, bucket machines, power rodders and hand rods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720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Inspecting and Testing Collection Systems.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and evaluate system damage. Operate and maintain inspecting and testing tools locate leaks or locate legal, illegal, unauthorized, and improper connections. Prepare concise and substantive reports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Lift Station Maintenance.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Operation and maintenance of wet wells, dry wells, bar racks, electrical systems, supervisory controls, pumps and valves. Prepare concise and substantive reports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320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Equipment Maintenance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pump types and applications. Troubleshoot, repair or maintain pumps, compressors, and other wastewater collection system components. Prepare concise and substantive reports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320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Safety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and mitigate collections system hazards following recognized wastewater industry safety techniques and guidelines for construction safety, personnel protective equipment, traffic safety, equipment and power tool safety in order to prevent accidents and exposures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Administration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utility responsibilities to develop goals, tasks and procedures in order to ensure compliance with state and federal regulatory guidance for certifications, operations, maintenance and reporting regarding wastewater collections systems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2.8K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WASTEWATER OPERATOR</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51-8031.00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0507</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CDL Permit and Hands-On/In-Vehicle Road Experience Training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Work Zone Flagger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Temporary Traffic Control</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Trenching &amp; Excavation Safety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Red Cross First Aid/Adult CPR &amp; AED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Forklift Safety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Confined Space Entry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Defensive Driving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Chemical Spill Response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Wastewater Collection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Collection System Operation &amp; Maintenance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Safety Procedures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Inspecting &amp; Testing Collection Systems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Pipeline Cleaning &amp; Maintenance Methods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Underground Repair &amp; Construction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25</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240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