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Chef De Partie (Cook Hotel &amp; Restaurant) (0663CB V1) Competency-Based</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35-2014.00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0663</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Assess equipment functioning.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food is stored and cooked at correct temperature by regulating temperature of ovens, broilers, grills, and roasters.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Clean food preparation areas, facilities, or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and clean food preparation areas, such as equipment and work surfaces, or serving areas to ensure safe and sanitary food-handling practices.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serving, cleaning and stocking duties in establishments to ensure quality guest services.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Inspect facilities, equipment or supplies to ensure conformance to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and clean food preparation areas such as the kitchen and dining areas in addition to the cooking equipment and work surfaces or serving areas to ensure safe and sanitary food-handling practices.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Arrange food for serving.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to prepare food, beverages for appropriate amount of patrons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Serve food or beverages.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portions are appropriate for the crowd size.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Serve food or drinks to patrons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Cook foods.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Turn or stir foods to ensure even cooking.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Season and cook food according to recipes or personal judgment and experience.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Bake, roast, broil, and steam meats, fish, vegetables, and other foods.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relishes and hors d'oeuvres.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Check quality of foods or supplies.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freshness of food and ingredients by checking for quality, keeping track of old and new items, and rotating stock.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food, beverage, or equipment inventories.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freshness of food and ingredients by checking for quality, keeping track of old and new items, and rotating stock.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Arrange Events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tables with clean linens, condiments and other supplies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up decorations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up for meals and events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Tear down after completions of meals and events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Usher, greet Patrons to seats or exits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Measure ingredients.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Weigh, measure, and mix ingredients according to recipes or personal judgment, using various kitchen utensils and equipment.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Mix ingredients.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Weigh, measure, and mix ingredients according to recipes or personal judgment, using various kitchen utensils and equipment.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Serve as part of the food service staff</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and work with all kitchen staff</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foods for cooking or serving.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Wash, peel, cut, and seed fruits and vegetables to prepare them for consumption.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Food preparation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Estimate supplies, ingredients, or staff requirements for food preparation activities.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Estimate expected food consumption, requisition or purchase supplies, or procure food from storage.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Order materials, supplies, or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Estimate expected food consumption, requisition or purchase supplies, or procure food from storage.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Assist Chefs or caterers with food and drink preparation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Substitute for or assist other cooks during emergencies or rush periods or dietary restrictions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breads or doughs.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Bake breads, rolls, cakes, and pastries.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Cut cooked or raw foods.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Carve and trim meats such as beef, veal, ham, pork, and lamb for hot or cold service, or for sandwiches.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Butcher and dress animals, fowl, or shellfish, or cut and bone meat prior to cooking.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Plan menu options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Consult with lead chef to plan menus, taking into consideration factors such as cost, dietary restrictions, patron size and special event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Plan and price menu items for a variety of events and patron sizes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Assess equipment functioning.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food is stored and cooked at correct temperature by regulating temperature of ovens, broilers, grills, and roasters.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Clean food preparation areas, facilities, or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and clean food preparation areas, such as equipment and work surfaces, or serving areas to ensure safe and sanitary food-handling practices.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serving, cleaning and stocking duties in establishments to ensure quality guest services.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Inspect facilities, equipment or supplies to ensure conformance to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and clean food preparation areas such as the kitchen and dining areas in addition to the cooking equipment and work surfaces or serving areas to ensure safe and sanitary food-handling practices.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Arrange food for serving.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to prepare food, beverages for appropriate amount of patrons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Serve food or beverages.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portions are appropriate for the crowd size.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Serve food or drinks to patrons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Cook foods.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Turn or stir foods to ensure even cooking.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Season and cook food according to recipes or personal judgment and experience.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Bake, roast, broil, and steam meats, fish, vegetables, and other foods.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relishes and hors d'oeuvres.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Check quality of foods or supplies.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freshness of food and ingredients by checking for quality, keeping track of old and new items, and rotating stock.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food, beverage, or equipment inventories.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 freshness of food and ingredients by checking for quality, keeping track of old and new items, and rotating stock.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Arrange Events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tables with clean linens, condiments and other supplies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up decorations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up for meals and events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Tear down after completions of meals and events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Usher, greet Patrons to seats or exits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Measure ingredients.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Weigh, measure, and mix ingredients according to recipes or personal judgment, using various kitchen utensils and equipment.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Mix ingredients.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Weigh, measure, and mix ingredients according to recipes or personal judgment, using various kitchen utensils and equipment.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Serve as part of the food service staff</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and work with all kitchen staff</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foods for cooking or serving.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Wash, peel, cut, and seed fruits and vegetables to prepare them for consumption.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Food preparation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Estimate supplies, ingredients, or staff requirements for food preparation activities.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Estimate expected food consumption, requisition or purchase supplies, or procure food from storage.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Order materials, supplies, or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Estimate expected food consumption, requisition or purchase supplies, or procure food from storage.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Assist Chefs or caterers with food and drink preparation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Substitute for or assist other cooks during emergencies or rush periods or dietary restrictions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breads or doughs.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Bake breads, rolls, cakes, and pastries.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Cut cooked or raw foods.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Carve and trim meats such as beef, veal, ham, pork, and lamb for hot or cold service, or for sandwiches.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Butcher and dress animals, fowl, or shellfish, or cut and bone meat prior to cooking.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Plan menu options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Consult with lead chef to plan menus, taking into consideration factors such as cost, dietary restrictions, patron size and special event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Plan and price menu items for a variety of events and patron sizes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62</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