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Sanitary, storm piping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&amp; vent piping (DMW)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plumbing, piping, 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Mathematics,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regulations: OSHA, State. Obtain a valid basic</w:t>
              <w:br/>
              <w:t> First Aid and CPR card within the first twelve (12) months of</w:t>
              <w:br/>
              <w:t> apprenticeship and maintain the validation throughout the duration of</w:t>
              <w:br/>
              <w:t> the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i. Ladder Safety</w:t>
              <w:br/>
              <w:t> ii. Lockout/Tagout</w:t>
              <w:br/>
              <w:t> iii. Trenching &amp; Shoring</w:t>
              <w:br/>
              <w:t> iv. Fall Protection</w:t>
              <w:br/>
              <w:t> v. Hazard Communications</w:t>
              <w:br/>
              <w:t> 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