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Preschool Teacher (3004HY 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instructional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learning/developmental objectives for all lessons, units, and projects and document them in lesson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individual goals for each child based on assessment that also incorporates the child’s strengths and interests.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appropriate teaching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multiple appropriate teaching methods and strategies to actively engage children.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learning environment to ensure physical safety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monitor, and maintain indoor and outdoor learning environments to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collaboratively to promote learning and development of all children in the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programs.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trainings, meetings, and committees.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on institutional or departmental committees.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staff meetings and collaboration team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performance of educational staff.</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evaluate, and plan assignments for teacher assistants and volunteers.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instructional materials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order, store, and inventory classroom equipment, materials,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life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foster children’s growth and development as outlined in the CA Preschool Learning Foundations: Social Emotional, Language and Literacy, Mathematics, Visual and Performance Arts, Physical Development, Health, History-Social Science, Science.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model healthy habits and personal hygiene.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for basic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respectful and responsive care to children when attending to their basic needs (e.g., feeding, dressing, and changing diapers).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and participate in meals and snacks in accordance with nutritional guidelines and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and support children’s transition as they arrive at school.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classroom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 variety of developmentally appropriate activities, materials, and resources that foster growth and development in all areas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prepare all materials, activities and learning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and prepare indoor and outdoor learning environments, activities, and materials to facilitate appropriate learning activities, and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classroom management strategies.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classroom routines and rules and implement appropriate behavior management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or materials to accommodate children's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scaffold, and individualize instruction, activities, and materials to meet the children’s varying development, needs, and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Student Support Team, Individualized Family Services Plan, Individual Education Plan and Case Conference meetings to discuss each individual child’s development and collaborate with other professionals to develop appropriate goals for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student progress with families and professionals.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difficulties in any area of development and discuss concern(s) with mentor teacher, child’s family, and child development specialists (Mental Health Specialist, Nurse, Nutritionist, Education and Disability Specialist,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each family to discuss their child’s strengths, progress, needs, and interests to develop individual goals and priorities for the child.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families with strategies, resources, and ideas to promote learning and development at home and strengthen the school-home connection.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educational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developmentally appropriate learning experiences that build on what children know and understand and are individualized to accommodate different skill levels and learning styles.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conduct activities for a balanced program of instruction, demonstration, and hands-on work that provides children with opportunities to observe, question, and investigate.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and document children’s development and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children using the designated assessment tool that uses work samples, observations, and other authentic means to gather the necessary evidence to evaluate children’s development in all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assessment results to understand and plan an individual child’s developmental progression and determine whether current teaching strategies are working for that child to guide adaptations and improvements in teaching practices.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student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and complete student records as required by funding sources, laws, district policies, and administrative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Preschool Teacher (3004HY 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