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level.; Assemble and fasten materials to make frameworks or props, using hand tools and wood screws, nails, dowel pins, or glue.; 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Build or repair cabinets, doors, frameworks, floors, or other wooden fixtures used in buildings, using woodworking machines, carpenter's hand tools, or power tools.;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