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Poles, Arms, and guys 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Conductors, switches, protective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work experience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 Supervised field trips</w:t>
              <w:br/>
              <w:t>Sponsor approved training seminars (specify): Requests for training seminars</w:t>
              <w:br/>
              <w:t>must be submitted in writing to the committee 30 days prior to the scheduled</w:t>
              <w:br/>
              <w:t>date of the training seminars. Training Seminars must be preapproved by the</w:t>
              <w:br/>
              <w:t>committee.</w:t>
              <w:br/>
              <w:t>Sponsor approved online or distance learning courses (specify): Requests for online</w:t>
              <w:br/>
              <w:t>or distance learning courses must be submitted in writing to the committee 30</w:t>
              <w:br/>
              <w:t>days prior to the scheduled date of the online or distance learning courses.</w:t>
              <w:br/>
              <w:t>Online or distance learning courses must be preapproved by the committee.</w:t>
              <w:br/>
              <w:t>State Community/Technical college: Seattle Community College</w:t>
              <w:br/>
              <w:t>Other (specify): Camp Rilea, Northwest Line Constructors Apprenticeship</w:t>
              <w:br/>
              <w:t>Electrical Course; and any other training or facilities as approved by the</w:t>
              <w:br/>
              <w:t>Committee.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