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K-5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 Teachers demonstrate professionalism through ethical conduct, reflection, and leadership (Adapted from Teacher Quality Standard IV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as outlined; understand and adhere to the school-level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staff meetings and any professional learning as required by the school principal.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Colorado Department of Education Professional Teacher Rubric with your program sponsor, and reflect on the requirements to meet the level of proficiency to earn non-probationary status within a school district.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mentor teacher to set two professional growth goals related to the Colorado Department of Education Professional Teacher Rubric. Share goals with the school principal or program sponsor.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quarterly data review meetings for either the English Language Arts (ELA) or Math content areas, whichever best aligns with your area of focus, and receive feedback from the program sponsor.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Environment-Teachers establish a safe, inclusive and respectful learning environment for a diverse population of students. (Adapted from Teacher Quality Standard II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reinforce the rules and procedures for student learning and behavior in your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collect student data, and reflect with the Program Supervisor on the next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ELD Plan, RtI Plan, 504, ALP of each student in your class/grade level within the first five weeks of school; discuss the use of the Student Snapshot reports with the Special Education Teacher and your Program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at least 1 Response to Intervention (RtI) meeting per quarter and actively participate. When a student is identified as needing intervention, collaborate to help establish and communicate the expectations of the plan, collect student data, and reflect with the Program Supervisor on the next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your Program Supervisor and Mentor Teacher to plan for and participate in 1st semester parent-teacher conferences/meetings as designed by your school district; reflect with the Program Supervisor and Mentor Teacher following the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your Program Supervisor and Mentor Teacher to plan for and participate in 2nd semester parent-teacher conferences/meetings as designed by your school district; reflect with the Program Supervisor and Mentor Teacher following the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Planning-Teachers plan and deliver effective instruction and create an environment that facilitates learning for their students. (Adapted from Teacher Quality Standards II &amp; III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at least 2 meetings per month with your Program Supervisor (if more are needed, your Program Supervisor will schedule with you): 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content collaboration meetings (Professional Learning Community Meetings) and staff development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classroom structure, set up necessary technology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Colorado Department of Education Professional Teacher Rubric with your program sponsor, set two professional growth goals for the year that will be reviewed at the end of the year.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at least one school-level assessment per semester and collaborate with the program sponsor to ensure standard alignment before distributing to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formative assessment results to inform your day to day instruction, making adjustments based on student learning demonstrated the day before.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school level assessments at least once per quarter with the Program Supervisor to plan feedback and possible re-teaching prior to meeting with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incorporates questioning strategies into their lesson plans based on anticipated student misconceptions.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uses questioning strategies from their lesson to develop students’ critical-thinking and problem-solving skills and to address misconceptions that occur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your program sponsor and/or school principal to review your hiring school district's Measure of Student Learning/Outcomes expectations and set goals based on the district and school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regularly uses available technology to: Facilitate classroom instruction. Develop students’ knowledge and skills based on lesson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models responsible and ethical use of technology and applications and discusses any concerns or new technology/app usage with their Program Supervisor.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Instruction-Teachers demonstrate mastery of and pedagogical expertise in the content they teach. The secondary teacher has knowledge of literacy and mathematics and is an expert in his or her content endorsement area(s). (Adapted from Teacher Quality Standard I of the Colorado Department of Education Professional Educator Quality Standards Rubric)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learning objectives based on standards for each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in a similar content area taught by an experienced teacher every nine weeks over the course of the first apprenticeship year. Observe for: the time involved in transitions, distributing materials, and the structure between beginning, middle, and end of the lesson, and any other significant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Choose the most effective materials that are challenging, elicit a variety of thinking, and incorporate opportunities for blended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program sponsor and/or mentor teacher weekly for instructional coaching and to review program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instructional adjustments based on feedback received both from the Program Supervisor and from formative and summative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supervision for student safety and expectations based on duties assigned by school district (ie: recess duty, lunchroom duty, before school/after school duty).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