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BRICKLAYER &amp; MASON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47-2021.00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Tools and Equipment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Care and safe use of tools and equipment including: 1. trowels 2. brick hammer 3. plumb rule 4. scaffolding 5. cutting saws 6. welding equipment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Laying Masonry</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1. Laying out work from plans, blueprints, or specifications 2. Mixing mortar 3. Building corner leads, or using corner poles (masonry guides) 4. Stretching line to guide courses of masonry units 5. Spreading bed of mortar 6. Laying various types of masonry units 7. Aligning courses vertically and horizontally 8. Removing excess mortar 9. Cutting and sawing masonry units 10. Installing door and window lintels 11. Repairing masonry units; replacing missing units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Laying Out and Constructing Bonds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1. Common bond (American) 2. Flemish bond 3. English bond 4. Garden wall bonds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Working with Joints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Working with various types of joints, such as: 1. flush (cut off) 2. struck 3. weatherstruck 4. slicker 5. concave 6. beaded</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Laying Stone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1. Laying out work from plans, blueprints, or specifications 2. Mixing mortar 3. Spreading bed of mortar 4. Laying first stone 5. Laying additional courses of mortar and stone 6. Aligning stones vertically and horizontally 7. Anchoring stones to a wall by welding or bolting 8. Constructing trim, sills, arches and coping (optional)</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Pointing, Cleaning, and Caulking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1. Pointing brick and stone, cutting and raking joints 2. Cleaning stone, brick, and structural tile (water, acid, sandblast) 3. Caulking stone, brick, and glass block</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Installing Building Units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1. Cutting and setting structural tile 2. Cutting, setting, and pointing of special masonry units 3. Block arching 4. Mixing mortar, cement, and patent mortar; spreading mortar; bonding and tying 5. Building footings and foundations 6. Plain exterior brickwork (straight wall work; backing up brickwork) 7. Building arches, coins, columns, piers and corners 8. Planning and building chimneys, fire places, flues; and floors and stairs 9. Installing building masonry panels 10. Laying paving brick</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Fireproofing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1. Building party walls (partition tile, gypsum blocks, glazed tile) 2. Standardized firebrick 3. Specialties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230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6K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BRICKLAYER &amp; MASON</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47-2021.00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Occupational safety 2. Material labels and data sheets 3. Eye, lung and ear protections 4. Drugs and Alcohol 5. Handling heavy materials 6. OSHA 10-Hour Construction Course – if required for Public Work 7. Asbestos Awareness – minimum 4 hours (see attachment) 8. First Aid – minimum 6.5 hours every 3 years 9. Industrial and Labor Relations 10. Sexual Harassment Prevention Training – must comply with Section 201-g of the Labor Law</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Math</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Basic math and measurement 2. Construction geometry 3. Estimating materials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Blueprints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Blueprint reading 2. Sketching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Physical Science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Trade Theory and Practice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Tools and equipment: use and care 2. Scaffolds 3. Materials characteristics 4. Layout (from drawings) 5. Mixing mortars 6. Spreading mortar 7. Laying bricks to line 8. Cutting brick 9. Corner layout and erection 10. Laying walls and corners 11. Expansion joints 12. Erecting a circular corner 13. Laying out story poles and batter boards 14. Applying masonry insulation materials 15. Pointing masonry 16. Cleaning masonry 17. Caulking masonry 18. Cleaning, sealing and finishing 19. Laying stone 20. Laying flemish and dutch bond 21. Arch construction 22. Block arching 23. Firebox construction 24. Laying pilasters 25. Brick piers 26. Building masonry chimneys 27. Building footings and foundations 28. Building coins and columns 29. Laying paving brick 30. Welding 31. Fireproofing 32. Cutting, setting and pointing special masonry units 33. Cutting and setting rubblework 34. Erecting masonry panels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