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Limited Maintenance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a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pulleys,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place motor cleaning, 100 hours maximum credit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 and automatic, including magnetic and solid state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high and low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Lighting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oriented drawings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remaining time necessary to complete the apprenticeship program shall be applied according to the apprentice's training needs by the apprenticeship committee and the employer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Temporary safety grounds shall be installed during such work and disconnecting devices shall be identified by safety tags. Work on signal systems, control systems, or other equipment energized at 50 volts or less shall not be considered hazardous under normal conditions. Where work must be done on energized lines or equipment, an apprentice may work with a journeyman as follows: After the first 1,000 hours on power supply voltage up to 125 volts; after 3,000 hours up to 250 volts.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Work on supply voltage between 250 and 600 volts after 4,000 hours, or receipt of journeyman license.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Electronic maintenance may be done by apprentices after 1,000 hours on equipment with in-put of 100 watts or less; after 3,000 hours up to 2500 watts in-put power.</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Limited Maintenance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and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 mechanical principles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Mathematics of the trade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Instrumentation and controls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Federal, state and local electrical laws, codes and rules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electrical drawings and pictorial, block, one-line and schematic diagrams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electrical safety: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