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WILDLAND FIRE FIGHTER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33-2011.00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0544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Wildland Fire Safety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Identify and mitigate safety hazards in the work environment, review/write Job Hazard Analysis, conduct safety briefings during prescribed fire and Wildland fire activities.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Wildland Fire Preparedness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(Examples: physical fitness conditioning, conduct fire ground proficiency drills, obtain weather forecasts and fire intelligence)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Fire Suppression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*Experience working a minimum of 240 hours each with hand crews, engines and helicopters. Creditable and total required experience can be gained during initial attack, extended attack, large incidents, fire rehabilitation projects or restoration assignments as part of a hand crew, engine, or helicopter module.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Fuels Management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minimum of 200 hours must be on Wildland fire use projects. (Examples: serving in various functions during the planning, preparation, implementation and monitoring phases of Wildland fire use and/or mechanical or chemical vegetation treatments,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Fire Business Practices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(Examples: timekeeping, record keeping, fire reports, medical forms, incident check-in and demobilization,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Dispatch Functions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(Examples: initial attack, expanded, aircraft, intelligence, recorder,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Prevention/Education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(Examples: fire investigation, school presentations, issuing permits, public contacts,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 Local Plans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(Examples: fire management, prevention, pre-attack, cooperators, land use,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WILDLAND FIRE FIGHTER SPECIALIST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33-2011.00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0544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ACADEMY CURRICULUM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ACADEMY CURRICULUM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REQUIRED SUPPLEMENTAL TECHNICAL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ELECTIVE SUPPLEMENTAL TECHNICAL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