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Home Performance Laborer (HPL) (Residential) - Weatherization Concentration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Site preparation, layout, and security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Recognize, secure and maintain job site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and work safely around environmental hazards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hand and power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equipment as required by the job</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estimate, move, supply, stock, and store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Weatherization (Concentration)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HPLs perform many activities in association with the weatherization of a residence, including, but not limited to, the following:</w:t>
              <w:br/>
              <w:t>1. Installing air-sealing measures</w:t>
              <w:br/>
              <w:t>2. Installing insulation of all types</w:t>
              <w:br/>
              <w:t>3. Conducting and interpreting leakage tests for homes and ductwork</w:t>
              <w:br/>
              <w:t>4. Interpreting infrared images for indications of heat loss</w:t>
              <w:br/>
              <w:t>5. Replacing doors and windows</w:t>
              <w:br/>
              <w:t>6. Repairing drywall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Home Performance Laborer (HPL) (Residential) - Weatherization Concentration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General Construction training is designed to prepare apprentices to enter the workforce and be safe and productive from the outset.  Topics covered in this training include craft orientation; OSHA 10 hour outreach safety training; hand and power tool identification and use; construction math; material handling; scaffold user; and introduction to green residential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Weatherization Technician/Installer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Weatherization Technician/Installer training is designed to provide qualified individuals with the skills and knowledge necessary to be a safe, competent, and productive member of a weatherization crew.  Participants are introduced to the basics of building science and the complex ways buildings and their systems interact with each other and the outside environment.  Instruction includes the methods and materials needed to properly seal the building envelope, including replacing doors and windows; how to seal, repair, and insulate leaky or damaged ductwork; the specifics of various types of insulation, their properties, and where and how they are best installed; and, how to interpret blower door tests and infrared images to assess the success or failure of a weatherization project.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 Renovation, Repair and Painting (RRP)</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Lead Renovator training prepares participants to perform renovation work using lead safe work practices.  The course meets all Occupational Safety and Health Administration (OSHA) and Environmental Protection Agency (EPA) training requirements under 29 CFR Part 1926.1101 and 40 CFR Part 745.225 respectively.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Materials, Plans, Specifications, and Codes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Materials, Plans, Specifications and Codes provides training to HPLs on basic plan reading, using construction drawings to develop material lists, and introduces the International Code Council, the International Building Code and the International Residential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Asbestos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Asbestos Awareness trains HPLs to recognize and identify components and areas of a structure, which may consist of asbestos containing materials.  Participants receive instruction on the history of asbestos, health effects associated with exposure, and procedures to avoid disturbing asbestos containing materials.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Mold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Mold Awareness instructs HPLs on the identification and health hazards, associated with the exposure to mold as well as other microbial contamination.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