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Manufacturing Plant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Installation of electrical circuits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Electrical installations as defined by the Electrical Safety Law (ORS 479.620)</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Electrical oriented drawings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and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In-place motor cleaning, 100 hours maximum credit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 and automatic controls including magnetic and solid state (including DC drivers)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Circuit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of test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Emergency repairs for temporary maintenance of service.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high and low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Transformer connecting, testing and repairing;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Switch gear and load centers, maintenance and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Wiring, maintenance, repair and adjustment of control panels, instruments and relays.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Lighting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remaining work time necessary to complete the apprenticeship program shall be applied according to the apprentice's training needs by the apprenticeship committee and the employer.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hours on power supply voltage up to 125 volts; after 3,000 hours up to 250 volts; after 4,000 hours 600 volts; after 7,000 hours any work within the plant.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the first 1,000 hours on equipment with in-put of 100 watts or less; after 3,000 hours up to 2500 watts in-put power, and after 5,000 hours on any electronic work within the plant, under journeyman supervision.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Manufacturing Plant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0643</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and accident prevention;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Care and use of hand and power tools;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and electrical symbols;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National Electrical Code;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fundamentals and basic theory, including AC and DC;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measuring devices;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Wiring methods;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Low voltage and limited energy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and commercial calculations;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Motors, generators and transformers;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Practical circuit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Lighting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Fundamentals of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Welding and cutting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High voltage distribution and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Optional: Certified CPR/First Aid ** The remaining 36 hours, required to ensure license exam qualification, will be distributed as the committee deems appropriate.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580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