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Nurse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29-1141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9999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I: (Weeks 1-12) Organizational Enculturation and Care of the Home Care Patient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Phase I is a period of orientation and transition to designed to support the newly licensed RN to develop knowledge, skills, and abilities necessary for the community health nurse role at the VNA of CNE.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visits with preceptor and residency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Visits with Inter-professional Team Members (24 hours) o Physical Therapy o Occupational Therapy o Respiratory Therapy o VNA Triage Orientation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Clinical experience Kent Hospital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II (Weeks 13-37) Role Transition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During this phase, residents begin to manage a caseload of patients as a team. Residents will continue to make joint visits with the preceptor/program manager as well as consider care from a systems perspective.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Supervised patient visits and joint case management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Phase III (Weeks 38-52) Role Integration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This structured on-the-job learning is designed to address the post-orientation exhaustion frequently experienced by new graduates. Phase III will focus on professional development and will assist the nurse resident (apprentice) as they navigate knowledge, roles, relationships and responsibilities (Duchscher, 2008).</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Patient visits as integrated member of VNA team with continued daily support from residency manager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570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Community Health Nurse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29-1141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9999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Every Visit Every Time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Patient-Centered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VNA Mandatory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Patient-Centered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Safe Communication using SBAR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Patient-Centered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Management of the Patient with Heart Failure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Patient-Centered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Management of the Patient with COPD &amp; Oxygen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Patient-Centered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Management of the Patient with Diabetes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Patient-Centered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Management of the Patient with Depression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Patient-Centered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Integrated Care Management (motivational interviewing, self-management, self-efficacy and goal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Patient-Centered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Creating a Culture of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Infection Control and Bag Technique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Safe Patient Handling &amp; Falls Prevention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Medication Reconciliation &amp; High Risk Medications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Skin Care and Wound Therapy and Ostomy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 Organizational Enculturation and Care of the Home Care Patient - Horizon Homecare McKesson Software Training (Beginner)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Informatics and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Cultural Diversity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Care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Health Equity Summit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Care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Case Management (Parts I and II)</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Care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End of Life and Palliative Care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Care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Horizon Homecare McKesson Software Training (Advanced)</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Care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Interpersonal communicatio: Perspective vs. perception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Communication and Teamwork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Conflict Management and Resolution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Communication and Teamwork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Interpersonal communicatio: Giving and Receiving Feedback</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Communication and Teamwork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VNAA 5 Star Strategies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Quality and Performance Improvement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OASIS Data Collection and Process Measures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Quality and Performance Improvement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Ethical Issues in Nursing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Quality and Performance Improvement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 Role Transition - Using Evidence and Research in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Evidence Based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III: Role Integration - Effective leadership and professional development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Professional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III: Role Integration - Developing Critical Thinking Skills and Self-Reflective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Professional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PHASE III: Role Integration - Coping, self-care and stress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Professional Development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