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Medical/Hospital Inpatient Coder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2029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Maintain Electronic application and work process to support clinical classification and coding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utilize health information management systems as related to coding;</w:t>
              <w:br/>
              <w:t>Gain encoding proficiency;</w:t>
              <w:br/>
              <w:t>Proficiency in using grouping software in order to accurately determine reimbursement rates.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and maintains electronic application and work process to support clinical classification and coding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diagnosis and procedure codes according to current nomenclature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utilize both coding books and 3M coders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diagnosis and procedure codes appropriately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skills needed to ensure accuracy of diagnostic/procedural groupings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Develop skills/systems to determine diagnostic/procedural accuracy of DRG’s, MSDRG’s and other groupings</w:t>
              <w:br/>
              <w:t>Develop skills/systems to determine diagnostic/procedural accuracy to apply ICD 10 codes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skills needed to ensure accuracy of diagnostic/procedural groupings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and validate coding accuracy using clinical information found in the health record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coding and is able to validate accuracy using clinical information found in health record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current regulations and established guidelines while coding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and apply regulations and guidelines as they apply to principal diagnosis</w:t>
              <w:br/>
              <w:t>Understand and apply regulations and guidelines as they apply to principal procedures</w:t>
              <w:br/>
              <w:t>Understand and apply sequencing and other coding guidelines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current regulations and established guidelines while coding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maintain applications and processes to support other clinical classifications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and maintains applications and processes to support other clinical classifications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Resolve discrepancies between coded data and support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Resolves discrepancies between coded data and support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with physicians and other care providers to ensure appropriate documentation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Develop specific communication techniques and skills to enhance communications with physicians and other care providers</w:t>
              <w:br/>
              <w:t>Develop strong ability to work collaboratively with other coders, supervisors and other hospital personnel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appropriately with physicians and other care providers to ensure appropriate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policies and procedures for the use of clinical data required in reimbursement and prospective payment systems (PPS)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policies and procedures for the use of clinical data required in reimbursements and prospective payment systems (PPS)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policies and procedures to comply with changing regulations among various payment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Apply policies and procedures to comply with Medicare</w:t>
              <w:br/>
              <w:t>Apply policies and procedures to comply with Medicaid</w:t>
              <w:br/>
              <w:t>Apply policies and procedures related to Medicaid managed care plans</w:t>
              <w:br/>
              <w:t>Apply policies and procedures to comply with private insurers and State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policies and procedures to comply with changing regulations among various payment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 accurate billing through coding, charge master, claims management, and bill reconciliation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support accurate billing through coding, charge master, claims management, and bill reconciliation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and apply established guidelines such as the National Correct Coding Initiative to comply with reimbursement and reporting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and the ability to apply established guidelines such as the National Correct Coding Initiative to comply with reimbursement and reporting requirements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Gain proficiency in performing quality reviews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Validate code assignment and compliance with reporting requirements</w:t>
              <w:br/>
              <w:t>Ability to create patient data reports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proficiency in performing quality reviews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Ensure accuracy of diagnostic/procedural groupings such as DRG and APC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ensure accuracy of diagnostic/procedural groupings such as DRG and APC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department compliance (fraud and abuse) training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Participate in HIPAA training</w:t>
              <w:br/>
              <w:t>Participate in other employer specific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and benefits from department compliance (including fraud and abuse)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Medical/Hospital Inpatient Coder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29-2071.00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2029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Terminology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Focus on medical terminology: students learn to articulate concepts of body systems, components within individual systems, and relationships between systems including the terminology of body systems relevant to disease, diagnostic and therapeutic tests, and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Fundamentals and Applications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introduction to computers and their use in information processing. Use computer programs such as word processing, spreadsheets, and data base management, as well as Internet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Anatomy and Physiology/Human Biology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organization of the human body, the definition of the terminology used to describe the location and function of anatomical structures, the outline of the basic chemical concepts essential for understanding physiological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Pathophysiology/Pharmacology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Combination of the study of human disease processes and treatments. Discussion of etiology and pathogenesis of diseases along with the application of diagnostic procedures and patient care. Includes pathology and underlying principles of the human systems along with characteristics of typical drugs, side effects, cautions, and interactions.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Reimbursement/Revenue Cycle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Payment systems, including those for inpatient and ambulatory care settings, as well as those for psychiatric, hospice, and home health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Legal and Ethical Issues and Compliance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Legal principles and terminology, as well as health records as legal documents, administration of the law, legal aspects of healthcare facilities, medical staff organization, privacy, and security.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Health Information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to the health information management field and opportunities available for students after graduation. Presents an evolutionary view of health information systems. Professional ethics and exposure to current issues impacting the field are included.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Coding Classification/Clinical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historical development of classification systems for documenting diagnoses and procedures. Application of current and future coding systems as well as coding clinical guidelines for diseases and procedures. Both inpatient and outpatient systems will be reviewed. Compliance and ethics are stressed in each lesson.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Diagnosis Coding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depth study of diagnosis coding using the International Classification of Diseases (ICD) classification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Procedure Coding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in depth study of procedural coding using the International Classification of Diseases (ICD) classification system and the Current Procedural Terminology (CPT)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Coding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Intermediate and advanced study of International Classification of Diseases (ICD) classification systems, the Current Procedure Terminology (CPT) system, and HCPCS Level II classification systems. Students will demonstrate mastery of coding conventions, coding principles, and official inpatient and outpatient guidelines using case studies.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Coding Capstone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use the skills they have learned in diagnostic and procedural coding and apply it to experiential learning through virtual and/or field -based coding practice (to be demonstrated through project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