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Direct Support Professional - Registration Level</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21-1093.00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1040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Registration Level</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apprentice, support from skills mentor, employer, or supervisor will gain a basic understanding, knowledge, skills and attitudes related to the role of the direct support professional, the organization’s mission, vision, and core values, and the expectations for a safe, healthy, ethical, and supportive work environment, and the importance of observing, recording, and monitoring of key participant, staff, and organizational events, activities, and accomplishments. The employer can support this orientation and foundational learning by the apprentice by using the following competencies: Participant Empowerment, Advocacy, Documentation, Providing Person-Centered Supports, and Supporting Health and Wellness.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