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BEHAVIORAL HEALTH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21-1094.00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2016</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Working with Others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Communicates Effectively b. Builds Positive Relationships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Providing Services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Coordinates care b. Assists with medication management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Cultural Competency &amp; Individualized Care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Delivers culturally relevant services b. Obtains consultation on cultural issues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Documenting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Completes required documentation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and Ethical Conduct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Fulfills responsibilities and commitments b. Practices ethically c. Obtains client consent d. Maintains confidentiality and privacy e. Manages stress and maintains personal health</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Seeks opportunities to improve knowledge, skills and abilities b. Uses supervision effectively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Engages Peers in Collaborative and Caring Relationships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Provides Support b. Personalizes Support c. Provides information about skills related to health, wellness and recovery d. Helps manage crises e. Values Communication f. Supports Collaboration and Teamwork g. Promotes Growth and Development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Foundational Skills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Basic computer skills b. Understands basic knowledge of electronic Health Care Record System as relevant to the position c. Basic office skills: phone, printer, fax, etc d. Has completed de-escalation training (introductory) e. Trauma Informed Care – Exploring Trauma and its impact on the person served (this should include components around institutional trauma and how that affects accessing care etc.) f. Understands the concept of whole person care g. Education regarding social determinates of health (as appropriate for this position) h. Basic use of distress tolerance and other regulating skills i. Displays basic understanding of medication trends and uses within the SUD realm, as appropriate for this position j. Exhibits ability to gather information regarding medication side effects and signs/symptoms k. Performs basic screen on intake – temperature, blood pressure l. Performs urine drug screening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Nursing Assistant – Certified</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Perform basic technical skills; take and record vital signs, assist client with various aspects of personal care b. Demonstrate proper hygiene before patient interaction c. CPR/First Aid training d. Blood borne pathogens training (includes HIV/Aids training) e. Utilizes appropriate interventions for physical mobility or transfer of clients f. Displays professional communication with client, client’s family and co-workers using alternative modes of communication when necessary g. Understands and adheres to HIPAA regulations h. Demonstrates infection control techniques and knowledge of precautions i. Demonstrates knowledge of safety procedures, proper PPE usage and emergency procedures j. Understands rules and regulations applied to Nursing Assistants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BEHAVIORAL HEALTH TECHNICIAN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21-1094.00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2016</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Supervised field trips, Sponsor approved training seminars (specify) Various JATC approved seminars including, but not limited to, First Aid/CPR, blood borne pathogens, etc., Sponsor approved online or distance learning courses (specify) Various JATC approved online course,  State Community/Technical college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250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250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