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Magnetic Resonance Imaging (MRI)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Patient Care Procedures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part of the education program, candidates must demonstrate competence in the clinical procedures identified.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CPR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Vital Signs (Blood Pressure, Pulse, Respiration)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Sterile Technique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Standard Precautions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Transfer of Patients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of Patient Medical Equipment (e.g., Oxygen Tank, IV Tubing)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Venipuncture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MRI Safety Requirements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Candidates must demonstrate competence in the MRI safety requirements identified.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Screening Patients, Personnel, and Non-Personnel for MR Safe, MR Conditional, and MR Unsafe Devices and Objects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MR Safety Zones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Static Magnetic Field (e.g., Translational and Rotational Forces)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Radiofrequency Field (e.g., Thermal Heating [SAR], Coil Positioning, Patient Positioning, Insulation)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Gradient Magnetic Fields (e.g., Inducted Voltages, Auditory Considerations)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and Monitoring Considerations (e.g., Sedated Patients, Verbal and Visual Contact, Vital Signs)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Contrast Media Safety (e.g., NSF, Renal Function)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Other MRI Safety Considerations (e.g., Cryogen Safety, Fire, Medical Emergencies, Laser Alignment Lights)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MR Imaging Procedures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Candidates must demonstrate competence in the MR imaging procedures identified.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MRI Quality Control Procedures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Candidates must demonstrate competence in the MRI quality control procedures identified.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Bronson Specific Requirements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Candidates must demonstrate competence in the Bronson specific requirements identified.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Magnetic Resonance Imaging (MRI)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Computer Applications in Medical Imaging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MRI Physics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MRI Physics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MRI Procedures and Pathology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MRI Procedures and Pathology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MRI Imaging Analysis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Sectional Anatomy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Pre-Clinical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