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Phlebotomist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31-9097.00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2036</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CLERICAL FUNCTIONS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Utilize eDH and Cerner computer systems to access patient orders; print requisitions; input orders (including outside provider orders); print label; research undefined tests; assess appropriateness of multiple tests (avoid duplicate billing).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Participation in team discussions/meetings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LABORATORY PREPARATION AND MAINTENANCE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Prepare phlebotomy workstations and patients with appropriate supplies for collecting and labeling blood and fluid specimens; record temperatures on refrigerators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Focus in team discussions/meetings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TECHNICAL FUNCTIONS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Select appropriate collection site; use aseptic technique when collecting blood; collect appropriate volume; label specimens accurately; assess patient during and after procedure, release when appropriate.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Focus during independent work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PATIENT CARE SERVICES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Identify patients according to lab policy; explain procedures to patients appropriately; demonstrate integrity and compassion when interacting with patients and caregivers; demonstrate ability to set priorities and be able to manage multiple tasks.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Openness to new ideas and change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PROFESSIONAL/DEPARTMENT GROWTH</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Utilize national available resources to keep current on all aspects of the phlebotomy field, including attending conferences, recertifying credentials, and sharing the latest processes and procedures learned with other departmental staff. Attend staff meetings; demonstrate willingness to learn; accept accountability for actions; keep current on changes in lab tests, policies, procedures; complete special assignments without reservation.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deal with ambiguity by exploring, asking questions, etc.</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LABORATORY PROCEDURES/POLICIES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Follow all written procedures; use personal protection; follow universal policy when handling specimens; maintain ongoing awareness of patient rights; use written resources and supervisors to solve problems; follow national HIPAA compliance standards; understand and fulfill required overtime and holiday shift work requirements.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Knows when to ask for help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Demonstrate calm, professional demeanor; proficient at answering phones, recording and communicating messages; work cooperatively with others; foster two-way communication with co-workers and supervisors; demonstrate appropriate self-confidence and initiative; contribute positively to make work area run more efficiently.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demonstrate effective group presentation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demonstrate effective one-on-one communication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an acceptable attendance record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Reports to work on time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Completes assigned tasks on time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appropriate language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respect for patients, co-workers and supervisors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trust, honesty and integrity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Requests and performs work assignments without prompting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Appropriately cares for personal dress, grooming and hygiene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a positive attitude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Cooperates with and assists co-workers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instructions/directions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work under supervision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accept constructive feedback and criticism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follow safety rules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take care of equipment and work 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keep work area neat and clean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meet supervisor's work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not let personal life interfere with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Adheres to work policies/rules/regulations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27</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