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meals and snacks in accordance with nutritional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to children's basic needs by feeding them, dressing them, and changing their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Assimilate arriving children to the school environment by greeting them, helping them remove outerwear, and selecting activities of interest to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parents and guardians to discuss their children's progress and needs, determine their priorities for their children, and suggest ways that they can promote learning and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students'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lead activities designed to promote physical, mental, and social development, such as games, arts and crafts, music, storytelling,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laws, district policies,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books to entire classes or to small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activities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strategies or programs for students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implement remedial programs for students requiring extra help.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preschool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ages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guests, or other experiential activities and guide students in learning from those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hall and cafeteria monitoring and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performance of educational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instructional or library materials or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tests to help determine children's developmental levels, needs, and potential.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Early Childhood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Child Development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Child Development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Child Guidance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Child, Family, and Community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Creative Activities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Health, Safety &amp; Nutrition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Children With Exceptionalities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Quantitative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Infants, Toddlers, and Twos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Foundations of Education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Teacher Licensure Prep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Language/ Literacy Experiences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Early Childhood Administration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Early Childhood Capstone Practicum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 must pick one of the following Humanities Courses: - ART 111 - MUS 110 Humanities Requirement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 must pick one of the following Social/ Behavioral Sciences Courses: - ECO 251 - ECO 252 - HIS 111 - HIS 112 - HIS 131 - POL 120 - SOC 210 Social/ Behavioral Sciences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 must pick one of the following from the Natural Sciences/ Mathematics Courses: - AST 111 - AST 111A - AST 151 - AST 151A - CHM 151 - BIO 111 - MAT 143 Natural Sciences/ Mathematics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